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994" w:rsidRDefault="00C05994" w:rsidP="00C05994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kern w:val="32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Приложение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№ 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 xml:space="preserve">4 к договору </w:t>
      </w:r>
      <w:r w:rsidR="008A69D1">
        <w:rPr>
          <w:rFonts w:ascii="Times New Roman" w:eastAsia="Times New Roman" w:hAnsi="Times New Roman" w:cs="Times New Roman"/>
          <w:b/>
          <w:i/>
          <w:kern w:val="32"/>
          <w:lang w:eastAsia="ru-RU"/>
        </w:rPr>
        <w:t>2</w:t>
      </w:r>
      <w:r w:rsidR="00C66B97">
        <w:rPr>
          <w:rFonts w:ascii="Times New Roman" w:eastAsia="Times New Roman" w:hAnsi="Times New Roman" w:cs="Times New Roman"/>
          <w:b/>
          <w:i/>
          <w:kern w:val="32"/>
          <w:lang w:eastAsia="ru-RU"/>
        </w:rPr>
        <w:t>6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>/202</w:t>
      </w:r>
      <w:r w:rsidR="00427A80">
        <w:rPr>
          <w:rFonts w:ascii="Times New Roman" w:eastAsia="Times New Roman" w:hAnsi="Times New Roman" w:cs="Times New Roman"/>
          <w:b/>
          <w:i/>
          <w:kern w:val="32"/>
          <w:lang w:eastAsia="ru-RU"/>
        </w:rPr>
        <w:t>2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>-К от ______</w:t>
      </w:r>
    </w:p>
    <w:p w:rsidR="00C05994" w:rsidRPr="00733132" w:rsidRDefault="00C05994" w:rsidP="00C0599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733132">
        <w:rPr>
          <w:rFonts w:ascii="Times New Roman" w:eastAsia="Times New Roman" w:hAnsi="Times New Roman" w:cs="Times New Roman"/>
          <w:kern w:val="32"/>
          <w:lang w:eastAsia="ru-RU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</w:t>
      </w:r>
      <w:r w:rsidRPr="00733132">
        <w:rPr>
          <w:rFonts w:ascii="Times New Roman" w:eastAsia="Times New Roman" w:hAnsi="Times New Roman" w:cs="Times New Roman"/>
          <w:bCs/>
          <w:kern w:val="32"/>
          <w:lang w:eastAsia="ru-RU"/>
        </w:rPr>
        <w:t>, режима допуска и пребывания на территории Объектов 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044F50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C05994" w:rsidRPr="00C05994" w:rsidRDefault="00C05994" w:rsidP="00C0599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>О</w:t>
      </w:r>
      <w:r w:rsidRPr="00C05994">
        <w:rPr>
          <w:rFonts w:ascii="Times New Roman" w:eastAsia="Times New Roman" w:hAnsi="Times New Roman" w:cs="Times New Roman"/>
          <w:b/>
          <w:bCs/>
          <w:lang w:val="x-none" w:eastAsia="x-none"/>
        </w:rPr>
        <w:t>бщество с ограниченной ответственностью «Байкальская Энергетическая компания-ремонт»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 xml:space="preserve"> (ООО «БЭК-ремонт»), именуемое в дальнейшем «Ген</w:t>
      </w:r>
      <w:r>
        <w:rPr>
          <w:rFonts w:ascii="Times New Roman" w:eastAsia="Times New Roman" w:hAnsi="Times New Roman" w:cs="Times New Roman"/>
          <w:bCs/>
          <w:lang w:val="x-none" w:eastAsia="x-none"/>
        </w:rPr>
        <w:t>подрядчик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 xml:space="preserve">», в лице первого заместителя генерального директора </w:t>
      </w:r>
      <w:r w:rsidRPr="00C05994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</w:t>
      </w:r>
      <w:r w:rsidR="00044F50">
        <w:rPr>
          <w:rFonts w:ascii="Times New Roman" w:eastAsia="Times New Roman" w:hAnsi="Times New Roman" w:cs="Times New Roman"/>
          <w:bCs/>
          <w:lang w:eastAsia="x-none"/>
        </w:rPr>
        <w:t>2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 xml:space="preserve"> № </w:t>
      </w:r>
      <w:r w:rsidR="00044F50">
        <w:rPr>
          <w:rFonts w:ascii="Times New Roman" w:eastAsia="Times New Roman" w:hAnsi="Times New Roman" w:cs="Times New Roman"/>
          <w:bCs/>
          <w:lang w:eastAsia="x-none"/>
        </w:rPr>
        <w:t>40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>, с одной стороны, и</w:t>
      </w:r>
    </w:p>
    <w:p w:rsidR="00C05994" w:rsidRPr="00C05994" w:rsidRDefault="00C05994" w:rsidP="00C059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C05994">
        <w:rPr>
          <w:rFonts w:ascii="Times New Roman" w:eastAsia="Times New Roman" w:hAnsi="Times New Roman" w:cs="Times New Roman"/>
          <w:bCs/>
          <w:lang w:eastAsia="ru-RU"/>
        </w:rPr>
        <w:t>___________________ (_____________), именуемое в дальнейшем "</w:t>
      </w:r>
      <w:r>
        <w:rPr>
          <w:rFonts w:ascii="Times New Roman" w:eastAsia="Times New Roman" w:hAnsi="Times New Roman" w:cs="Times New Roman"/>
          <w:bCs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Cs/>
          <w:lang w:eastAsia="ru-RU"/>
        </w:rPr>
        <w:t>", в лице ________________, действующего на основании _________, с другой стороны, при совместном упоминании именуемые «Стороны» и по отдельности «Сторона</w:t>
      </w:r>
      <w:r w:rsidRPr="00C05994">
        <w:rPr>
          <w:rFonts w:ascii="Times New Roman" w:eastAsia="Times New Roman" w:hAnsi="Times New Roman" w:cs="Times New Roman"/>
          <w:lang w:eastAsia="ru-RU"/>
        </w:rPr>
        <w:t>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C05994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lang w:eastAsia="ru-RU"/>
        </w:rPr>
        <w:t>суб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подряда на выполнение ремонтных работ № </w:t>
      </w:r>
      <w:r w:rsidR="008A69D1">
        <w:rPr>
          <w:rFonts w:ascii="Times New Roman" w:eastAsia="Times New Roman" w:hAnsi="Times New Roman" w:cs="Times New Roman"/>
          <w:spacing w:val="4"/>
          <w:lang w:eastAsia="ru-RU"/>
        </w:rPr>
        <w:t>20</w:t>
      </w:r>
      <w:r>
        <w:rPr>
          <w:rFonts w:ascii="Times New Roman" w:eastAsia="Times New Roman" w:hAnsi="Times New Roman" w:cs="Times New Roman"/>
          <w:spacing w:val="4"/>
          <w:lang w:eastAsia="ru-RU"/>
        </w:rPr>
        <w:t>/202</w:t>
      </w:r>
      <w:r w:rsidR="00427A80">
        <w:rPr>
          <w:rFonts w:ascii="Times New Roman" w:eastAsia="Times New Roman" w:hAnsi="Times New Roman" w:cs="Times New Roman"/>
          <w:spacing w:val="4"/>
          <w:lang w:eastAsia="ru-RU"/>
        </w:rPr>
        <w:t>2</w:t>
      </w:r>
      <w:r>
        <w:rPr>
          <w:rFonts w:ascii="Times New Roman" w:eastAsia="Times New Roman" w:hAnsi="Times New Roman" w:cs="Times New Roman"/>
          <w:spacing w:val="4"/>
          <w:lang w:eastAsia="ru-RU"/>
        </w:rPr>
        <w:t>-К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lang w:eastAsia="ru-RU"/>
        </w:rPr>
        <w:t>______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 (далее – «</w:t>
      </w:r>
      <w:r w:rsidRPr="00C05994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C05994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0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0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охраны труда и промышленной безопасности при эксплуатации,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lastRenderedPageBreak/>
              <w:t>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4" w:name="_Ref499613849"/>
    </w:p>
    <w:bookmarkEnd w:id="4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форма Акта прилагается ОБРАЗЕЦ 1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:rsidR="00C05994" w:rsidRPr="00C05994" w:rsidRDefault="00C05994" w:rsidP="00C05994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3128" w:type="dxa"/>
        <w:tblLook w:val="04A0" w:firstRow="1" w:lastRow="0" w:firstColumn="1" w:lastColumn="0" w:noHBand="0" w:noVBand="1"/>
      </w:tblPr>
      <w:tblGrid>
        <w:gridCol w:w="216"/>
        <w:gridCol w:w="4791"/>
        <w:gridCol w:w="60"/>
        <w:gridCol w:w="4397"/>
        <w:gridCol w:w="283"/>
        <w:gridCol w:w="3381"/>
      </w:tblGrid>
      <w:tr w:rsidR="00C05994" w:rsidRPr="00C05994" w:rsidTr="00EB334B">
        <w:trPr>
          <w:gridBefore w:val="1"/>
          <w:wBefore w:w="216" w:type="dxa"/>
          <w:trHeight w:val="4738"/>
        </w:trPr>
        <w:tc>
          <w:tcPr>
            <w:tcW w:w="4791" w:type="dxa"/>
          </w:tcPr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Генподрядчик: </w:t>
            </w: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БЭК-ремонт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»</w:t>
            </w:r>
          </w:p>
          <w:p w:rsidR="00C66B97" w:rsidRDefault="00C05994" w:rsidP="00C66B9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0" w:name="_GoBack"/>
            <w:bookmarkEnd w:id="10"/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Юридический адрес:</w:t>
            </w: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  <w:p w:rsidR="00C66B97" w:rsidRPr="00C66B97" w:rsidRDefault="00C66B97" w:rsidP="00C66B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 xml:space="preserve">РФ,664050, Иркутская область </w:t>
            </w:r>
            <w:proofErr w:type="spellStart"/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г.Иркутск</w:t>
            </w:r>
            <w:proofErr w:type="spellEnd"/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proofErr w:type="gramStart"/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ул.Байкальская,д</w:t>
            </w:r>
            <w:proofErr w:type="spellEnd"/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 xml:space="preserve"> 259  Тел: 8 (3952) 794-652, e-</w:t>
            </w:r>
            <w:proofErr w:type="spellStart"/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: office−remont@baikalenergy.com</w:t>
            </w:r>
          </w:p>
          <w:p w:rsidR="00C66B97" w:rsidRPr="00C66B97" w:rsidRDefault="00C66B97" w:rsidP="00C66B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 xml:space="preserve">ИНН 3808271889, КПП 384901001 ОКПО 44483991 ОГРН 1203800012130, дата регистрации 11.06.2020. ОКВЭД 35.11.1 </w:t>
            </w:r>
          </w:p>
          <w:p w:rsidR="00C66B97" w:rsidRPr="00C66B97" w:rsidRDefault="00C66B97" w:rsidP="00C66B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Получатель: Общество с ограниченной ответственностью «БАЙКАЛЬСКАЯ ЭНЕРГЕТИЧЕСКАЯ КОМПАНИЯ-РЕМОНТ» ИНН 3808271889 БИК 040407877</w:t>
            </w:r>
          </w:p>
          <w:p w:rsidR="00C66B97" w:rsidRPr="00C66B97" w:rsidRDefault="00C66B97" w:rsidP="00C66B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Банк получателя: Ф-Л БАНКА ГПБ (АО) "</w:t>
            </w:r>
            <w:proofErr w:type="gramStart"/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ВОСТОЧНО-СИБИРСКИЙ</w:t>
            </w:r>
            <w:proofErr w:type="gramEnd"/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" г. Красноярск</w:t>
            </w:r>
          </w:p>
          <w:p w:rsidR="00C66B97" w:rsidRPr="00C66B97" w:rsidRDefault="00C66B97" w:rsidP="00C66B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Корреспондентский счет 30101810100000000877</w:t>
            </w:r>
          </w:p>
          <w:p w:rsidR="00C66B97" w:rsidRPr="00C66B97" w:rsidRDefault="00C66B97" w:rsidP="00C66B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6B97">
              <w:rPr>
                <w:rFonts w:ascii="Times New Roman" w:eastAsia="Times New Roman" w:hAnsi="Times New Roman" w:cs="Times New Roman"/>
                <w:lang w:eastAsia="ru-RU"/>
              </w:rPr>
              <w:t>Расчетный счет 40702810200340001440</w:t>
            </w:r>
          </w:p>
          <w:p w:rsidR="00C05994" w:rsidRPr="00C05994" w:rsidRDefault="00C05994" w:rsidP="00C059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0" w:type="dxa"/>
            <w:gridSpan w:val="3"/>
          </w:tcPr>
          <w:p w:rsidR="00C05994" w:rsidRPr="00C05994" w:rsidRDefault="00C05994" w:rsidP="00C05994">
            <w:pPr>
              <w:tabs>
                <w:tab w:val="left" w:pos="50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Субподрядчик: </w:t>
            </w:r>
          </w:p>
        </w:tc>
        <w:tc>
          <w:tcPr>
            <w:tcW w:w="3381" w:type="dxa"/>
          </w:tcPr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5994" w:rsidRPr="00C05994" w:rsidTr="00EB334B">
        <w:trPr>
          <w:gridAfter w:val="2"/>
          <w:wAfter w:w="3664" w:type="dxa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Субподрядчик:</w:t>
            </w:r>
          </w:p>
        </w:tc>
      </w:tr>
      <w:tr w:rsidR="00C05994" w:rsidRPr="00C05994" w:rsidTr="00EB334B">
        <w:trPr>
          <w:gridAfter w:val="2"/>
          <w:wAfter w:w="3664" w:type="dxa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 директора</w:t>
            </w:r>
            <w:r w:rsidRPr="00C059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C05994" w:rsidRPr="00C05994" w:rsidRDefault="00C05994" w:rsidP="00C059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</w:p>
          <w:p w:rsidR="00C05994" w:rsidRPr="00C05994" w:rsidRDefault="00C05994" w:rsidP="00C059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1"/>
                <w:szCs w:val="21"/>
                <w:lang w:val="x-none" w:eastAsia="x-none"/>
              </w:rPr>
            </w:pPr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05994" w:rsidRPr="00C05994" w:rsidTr="00EB334B">
        <w:trPr>
          <w:gridAfter w:val="2"/>
          <w:wAfter w:w="3664" w:type="dxa"/>
          <w:trHeight w:val="291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_______________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bCs/>
                <w:lang w:eastAsia="ru-RU"/>
              </w:rPr>
              <w:t>Н.Н.Бредихин</w:t>
            </w:r>
            <w:proofErr w:type="spellEnd"/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</w:t>
            </w:r>
            <w:r w:rsidRPr="00C0599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05994" w:rsidRPr="00C05994" w:rsidTr="00EB334B">
        <w:trPr>
          <w:gridAfter w:val="2"/>
          <w:wAfter w:w="3664" w:type="dxa"/>
          <w:trHeight w:val="323"/>
        </w:trPr>
        <w:tc>
          <w:tcPr>
            <w:tcW w:w="5067" w:type="dxa"/>
            <w:gridSpan w:val="3"/>
          </w:tcPr>
          <w:p w:rsidR="00C05994" w:rsidRPr="00C05994" w:rsidRDefault="00C05994" w:rsidP="00044F5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«_____»_______________ 202</w:t>
            </w:r>
            <w:r w:rsidR="00044F5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</w:t>
            </w:r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</w:t>
            </w:r>
            <w:r w:rsidR="00044F5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_____»______________2022</w:t>
            </w: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</w:t>
            </w:r>
          </w:p>
        </w:tc>
      </w:tr>
    </w:tbl>
    <w:p w:rsidR="00262F11" w:rsidRDefault="00262F11"/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43C" w:rsidRDefault="0020743C" w:rsidP="00C05994">
      <w:pPr>
        <w:spacing w:after="0" w:line="240" w:lineRule="auto"/>
      </w:pPr>
      <w:r>
        <w:separator/>
      </w:r>
    </w:p>
  </w:endnote>
  <w:endnote w:type="continuationSeparator" w:id="0">
    <w:p w:rsidR="0020743C" w:rsidRDefault="0020743C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43C" w:rsidRDefault="0020743C" w:rsidP="00C05994">
      <w:pPr>
        <w:spacing w:after="0" w:line="240" w:lineRule="auto"/>
      </w:pPr>
      <w:r>
        <w:separator/>
      </w:r>
    </w:p>
  </w:footnote>
  <w:footnote w:type="continuationSeparator" w:id="0">
    <w:p w:rsidR="0020743C" w:rsidRDefault="0020743C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44F50"/>
    <w:rsid w:val="0020743C"/>
    <w:rsid w:val="00262F11"/>
    <w:rsid w:val="00427A80"/>
    <w:rsid w:val="00565666"/>
    <w:rsid w:val="00733132"/>
    <w:rsid w:val="007C1EEC"/>
    <w:rsid w:val="008575C1"/>
    <w:rsid w:val="008A69D1"/>
    <w:rsid w:val="00C05994"/>
    <w:rsid w:val="00C66B97"/>
    <w:rsid w:val="00E3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A3B58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6066</Words>
  <Characters>34581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8</cp:revision>
  <dcterms:created xsi:type="dcterms:W3CDTF">2021-10-11T03:46:00Z</dcterms:created>
  <dcterms:modified xsi:type="dcterms:W3CDTF">2022-06-03T07:43:00Z</dcterms:modified>
</cp:coreProperties>
</file>