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F10" w:rsidRPr="00695326" w:rsidRDefault="001C4A4E" w:rsidP="00E54F10">
      <w:pPr>
        <w:pStyle w:val="a5"/>
        <w:tabs>
          <w:tab w:val="left" w:pos="686"/>
          <w:tab w:val="left" w:pos="6237"/>
        </w:tabs>
        <w:ind w:firstLine="567"/>
        <w:rPr>
          <w:b w:val="0"/>
          <w:bCs w:val="0"/>
        </w:rPr>
      </w:pPr>
      <w:r w:rsidRPr="00695326">
        <w:rPr>
          <w:b w:val="0"/>
          <w:bCs w:val="0"/>
        </w:rPr>
        <w:t>Приложение № </w:t>
      </w:r>
      <w:r w:rsidR="006B6F99" w:rsidRPr="00695326">
        <w:rPr>
          <w:b w:val="0"/>
          <w:bCs w:val="0"/>
        </w:rPr>
        <w:t>9</w:t>
      </w:r>
      <w:r w:rsidRPr="00695326">
        <w:rPr>
          <w:b w:val="0"/>
          <w:bCs w:val="0"/>
        </w:rPr>
        <w:t xml:space="preserve"> к договору субподряда на выполнение ремонтных работ </w:t>
      </w:r>
      <w:r w:rsidR="00695326" w:rsidRPr="00695326">
        <w:rPr>
          <w:b w:val="0"/>
          <w:bCs w:val="0"/>
        </w:rPr>
        <w:t xml:space="preserve">№ </w:t>
      </w:r>
      <w:r w:rsidR="00695326" w:rsidRPr="00695326">
        <w:rPr>
          <w:b w:val="0"/>
          <w:bCs w:val="0"/>
        </w:rPr>
        <w:t>27/2022-К</w:t>
      </w:r>
    </w:p>
    <w:p w:rsidR="00074C06" w:rsidRPr="00695326" w:rsidRDefault="00074C06" w:rsidP="00074C06">
      <w:pPr>
        <w:pStyle w:val="a5"/>
        <w:tabs>
          <w:tab w:val="left" w:pos="686"/>
          <w:tab w:val="left" w:pos="6237"/>
        </w:tabs>
        <w:ind w:firstLine="567"/>
        <w:jc w:val="left"/>
        <w:rPr>
          <w:b w:val="0"/>
          <w:bCs w:val="0"/>
        </w:rPr>
      </w:pPr>
      <w:r w:rsidRPr="00695326">
        <w:rPr>
          <w:b w:val="0"/>
          <w:bCs w:val="0"/>
        </w:rPr>
        <w:t>от ______</w:t>
      </w:r>
    </w:p>
    <w:p w:rsidR="001C4A4E" w:rsidRDefault="001C4A4E" w:rsidP="001C4A4E">
      <w:pPr>
        <w:suppressAutoHyphens/>
        <w:autoSpaceDE w:val="0"/>
        <w:spacing w:before="120" w:after="120"/>
        <w:ind w:firstLine="6804"/>
        <w:jc w:val="right"/>
        <w:outlineLvl w:val="0"/>
        <w:rPr>
          <w:b/>
          <w:sz w:val="22"/>
          <w:szCs w:val="22"/>
          <w:highlight w:val="green"/>
        </w:rPr>
      </w:pPr>
    </w:p>
    <w:p w:rsidR="001C4A4E" w:rsidRDefault="001C4A4E" w:rsidP="001C4A4E">
      <w:pPr>
        <w:suppressAutoHyphens/>
        <w:autoSpaceDE w:val="0"/>
        <w:spacing w:before="120" w:after="120"/>
        <w:jc w:val="center"/>
        <w:outlineLvl w:val="0"/>
        <w:rPr>
          <w:b/>
          <w:sz w:val="22"/>
          <w:szCs w:val="22"/>
          <w:highlight w:val="green"/>
        </w:rPr>
      </w:pPr>
    </w:p>
    <w:p w:rsidR="001C4A4E" w:rsidRPr="001C4A4E" w:rsidRDefault="001C4A4E" w:rsidP="001C4A4E">
      <w:pPr>
        <w:shd w:val="clear" w:color="auto" w:fill="FFFFFF" w:themeFill="background1"/>
        <w:suppressAutoHyphens/>
        <w:autoSpaceDE w:val="0"/>
        <w:spacing w:before="120" w:after="120"/>
        <w:jc w:val="center"/>
        <w:outlineLvl w:val="0"/>
        <w:rPr>
          <w:b/>
          <w:sz w:val="24"/>
          <w:szCs w:val="24"/>
        </w:rPr>
      </w:pPr>
      <w:r w:rsidRPr="001C4A4E">
        <w:rPr>
          <w:b/>
          <w:sz w:val="24"/>
          <w:szCs w:val="24"/>
        </w:rPr>
        <w:t>Методика определения коэффициента частоты травм с утратой трудоспособности (LTIFR)организациями Группы для целей бизнес-планирования и подготовки отчетности»</w:t>
      </w:r>
    </w:p>
    <w:p w:rsidR="001C4A4E" w:rsidRPr="00353295" w:rsidRDefault="001C4A4E" w:rsidP="001C4A4E">
      <w:pPr>
        <w:keepNext/>
        <w:keepLines/>
        <w:spacing w:before="120" w:after="120"/>
        <w:rPr>
          <w:rFonts w:ascii="Cambria" w:hAnsi="Cambria"/>
          <w:b/>
          <w:bCs/>
          <w:color w:val="365F91"/>
          <w:sz w:val="28"/>
          <w:szCs w:val="28"/>
        </w:rPr>
      </w:pPr>
    </w:p>
    <w:p w:rsidR="001C4A4E" w:rsidRPr="00353295" w:rsidRDefault="001C4A4E" w:rsidP="001C4A4E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0" w:name="_Toc61878704"/>
      <w:r w:rsidRPr="00353295">
        <w:rPr>
          <w:b/>
          <w:bCs/>
          <w:kern w:val="32"/>
          <w:sz w:val="24"/>
          <w:szCs w:val="24"/>
        </w:rPr>
        <w:t>Общие положения</w:t>
      </w:r>
      <w:bookmarkEnd w:id="0"/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Настоящая Методика устанавливает единый порядок определения коэффициента частоты травм с утратой трудоспособности (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>) всеми организациями Группы с разделением на Сотрудников и Подрядчиков.</w:t>
      </w:r>
    </w:p>
    <w:p w:rsidR="001C4A4E" w:rsidRPr="00353295" w:rsidRDefault="001C4A4E" w:rsidP="001C4A4E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1" w:name="_Toc61878705"/>
      <w:r w:rsidRPr="00353295">
        <w:rPr>
          <w:b/>
          <w:bCs/>
          <w:kern w:val="32"/>
          <w:sz w:val="24"/>
          <w:szCs w:val="24"/>
        </w:rPr>
        <w:t>Термины и определения</w:t>
      </w:r>
      <w:bookmarkEnd w:id="1"/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Ниже приводятся термины/сокращения и определения, используемые для целей исполнения положений данной Методики: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2655"/>
        <w:gridCol w:w="6358"/>
      </w:tblGrid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№ п/п</w:t>
            </w: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Термин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>/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сокращение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Определение</w:t>
            </w:r>
            <w:proofErr w:type="spellEnd"/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right="314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Группа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Совокупность юридических лиц, связанных отношениями экономической и корпоративной зависимости с МК ПАО «ЭН+ ГРУП»,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Менеджмент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Группы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Работники,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«ЭН+ ГРУП» (генеральный директор АО «ЕвроСибЭнерго», директор по устойчивому развитию </w:t>
            </w:r>
            <w:r w:rsidRPr="00353295">
              <w:rPr>
                <w:sz w:val="24"/>
                <w:szCs w:val="24"/>
                <w:lang w:val="en-US" w:eastAsia="en-US"/>
              </w:rPr>
              <w:t>МКООО «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Эн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+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Холдинг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» и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другие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>)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Дирекция по охране труда (ДОТ) 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Структурное подразделение, осуществляющее  в числе прочих функции методического руководства и контроля в части определения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Группы при исполнении положений настоящей Методики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Департамент по правовым вопросам ООО «УСЦ ЕвроСибЭнерго»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Структурное подразделение, осуществляющее в числе прочих функции по учету актуальной структуры Группы при исполнении положений настоящей Методики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Финансовый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департамент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 АО «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ЕвроСибЭнерго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>»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Структурное подразделение, осуществляющее в числе прочих функции по управлению бизнес-планированием Бизнесов/Организаций 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Ответственный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работник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Лицо, ответственное за подготовку информации по Бизнесу/Организации в соответствии с Регламентом. 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b/>
                <w:sz w:val="24"/>
                <w:szCs w:val="24"/>
                <w:lang w:eastAsia="en-US"/>
              </w:rPr>
            </w:pPr>
            <w:r w:rsidRPr="00353295">
              <w:rPr>
                <w:b/>
                <w:sz w:val="24"/>
                <w:szCs w:val="24"/>
                <w:lang w:eastAsia="en-US"/>
              </w:rPr>
              <w:t xml:space="preserve">Внимание! В случае, если ответственное лицо не закреплено Регламентом (организация не предоставляет единую отчетность по охране труда в установленном порядке), ответственным работником за предоставление всей необходимой информации в ДОТ для целей </w:t>
            </w:r>
            <w:r w:rsidRPr="00353295">
              <w:rPr>
                <w:b/>
                <w:sz w:val="24"/>
                <w:szCs w:val="24"/>
                <w:lang w:eastAsia="en-US"/>
              </w:rPr>
              <w:lastRenderedPageBreak/>
              <w:t>исполнения положений настоящей Методики является руководитель Бизнеса/Организации.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Бизнес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Совокупность юридических лиц Группы, сгруппированных в управленческих целях по функциональному направлению деятельности, составляющая промежуточный уровень детализации при исполнении положений настоящей Методики (при необходимости)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Организация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Юридическое лицо Группы, составляющее нижний уровень детализации при исполнении положений настоящей Методики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Сотрудник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Любое лицо, занятое деятельностью в Организации, в течение полного или неполного рабочего времени и получающее за это соответствующую оплату от Организации, состоящее в трудовых отношениях с Организацией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Подрядчик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Любой работник компании, осуществляющей работу или предоставляющей услуги для Организации 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b/>
                <w:sz w:val="24"/>
                <w:szCs w:val="24"/>
                <w:lang w:eastAsia="en-US"/>
              </w:rPr>
            </w:pPr>
            <w:r w:rsidRPr="00353295">
              <w:rPr>
                <w:b/>
                <w:sz w:val="24"/>
                <w:szCs w:val="24"/>
                <w:lang w:eastAsia="en-US"/>
              </w:rPr>
              <w:t xml:space="preserve">Внимание! Для целей корректного определения </w:t>
            </w:r>
            <w:r w:rsidRPr="00353295">
              <w:rPr>
                <w:b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sz w:val="24"/>
                <w:szCs w:val="24"/>
                <w:lang w:eastAsia="en-US"/>
              </w:rPr>
              <w:t xml:space="preserve"> (исключения двойного учета) сотрудники одних Организаций Группы не могут учитываться в качестве подрядчиков для других Организаций Группы при исполнении положений настоящей Методики.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Регламент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Действующая на момент подготовки отчетных данных редакция регламента единой отчетности по охране труда ГК «ЕвроСибЭнерго»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 (Lost Time Injury)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Травма, повлекшая временную или стойкую утрату трудоспособности.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Учитываются производственные травмы, в результате которых на следующий день после случившегося, пострадавший временно (на один день и более) не способен выполнять свою обычную работу в полном объеме либо с ограничением рабочих функций. 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b/>
                <w:sz w:val="24"/>
                <w:szCs w:val="24"/>
                <w:lang w:eastAsia="en-US"/>
              </w:rPr>
              <w:t xml:space="preserve">Внимание! Для целей корректного определения </w:t>
            </w:r>
            <w:r w:rsidRPr="00353295">
              <w:rPr>
                <w:b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sz w:val="24"/>
                <w:szCs w:val="24"/>
                <w:lang w:eastAsia="en-US"/>
              </w:rPr>
              <w:t xml:space="preserve"> (исключения двойного учета) при исполнении положений настоящей Методики количество </w:t>
            </w:r>
            <w:r w:rsidRPr="00353295">
              <w:rPr>
                <w:b/>
                <w:sz w:val="24"/>
                <w:szCs w:val="24"/>
                <w:lang w:val="en-US" w:eastAsia="en-US"/>
              </w:rPr>
              <w:t>LTI</w:t>
            </w:r>
            <w:r w:rsidRPr="00353295">
              <w:rPr>
                <w:b/>
                <w:sz w:val="24"/>
                <w:szCs w:val="24"/>
                <w:lang w:eastAsia="en-US"/>
              </w:rPr>
              <w:t xml:space="preserve"> определяется без учета травм, повлекших смерть пострадавшего.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F (Fatality)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Травма, повлекшая смерть пострадавшего.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LTIFR (Lost Time Incident Frequency Rate)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Коэффициент частоты травм с утратой трудоспособности (на каждые 200</w:t>
            </w:r>
            <w:r w:rsidRPr="00353295">
              <w:rPr>
                <w:sz w:val="24"/>
                <w:szCs w:val="24"/>
                <w:lang w:val="en-US" w:eastAsia="en-US"/>
              </w:rPr>
              <w:t> </w:t>
            </w:r>
            <w:r w:rsidRPr="00353295">
              <w:rPr>
                <w:sz w:val="24"/>
                <w:szCs w:val="24"/>
                <w:lang w:eastAsia="en-US"/>
              </w:rPr>
              <w:t>000 человеко-часов), определяемый по формуле: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LTIFR = (LTI+F)/ФЧЧ</w:t>
            </w:r>
            <w:r w:rsidRPr="00353295">
              <w:rPr>
                <w:sz w:val="24"/>
                <w:szCs w:val="24"/>
                <w:lang w:val="en-US" w:eastAsia="en-US"/>
              </w:rPr>
              <w:sym w:font="Symbol" w:char="F0D7"/>
            </w:r>
            <w:r w:rsidRPr="00353295">
              <w:rPr>
                <w:sz w:val="24"/>
                <w:szCs w:val="24"/>
                <w:lang w:val="en-US" w:eastAsia="en-US"/>
              </w:rPr>
              <w:t>200000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LTIFR_план_1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Плановый показатель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Организации в текущем году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LTIFR_план_2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Плановый показатель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Организации на следующий год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ФЧЧ (фактически отработанные человеко-часы)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Суммарное количество рабочих часов, фактически отработанных 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:rsidR="001C4A4E" w:rsidRPr="00353295" w:rsidRDefault="001C4A4E" w:rsidP="001C4A4E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2" w:name="_Toc61878706"/>
      <w:r w:rsidRPr="00353295">
        <w:rPr>
          <w:b/>
          <w:bCs/>
          <w:kern w:val="32"/>
          <w:sz w:val="24"/>
          <w:szCs w:val="24"/>
        </w:rPr>
        <w:t>Планирование</w:t>
      </w:r>
      <w:bookmarkEnd w:id="2"/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 Энергетическому сегменту Группы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Плановый (целевой) показатель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по Группе в целом утверждается приказом по Группе.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Финансовый департамент АО «ЕвроСибЭнерго» предоставляет в ДОТ целевой показатель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>, утвержденный приказом по Группе, в течение 3-х рабочих дней с момента утверждения.</w:t>
      </w:r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 Бизнесам/Организациям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Департамент по правовым вопросам ООО «УСЦ ЕвроСибЭнерго» представляет в ДОТ полный перечень юридических лиц Бизнесов Группы в срок до 1 декабря, предшествующего планируемому.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в планируемом периоде, и подготавливает предложения генеральному директору АО «ЕвроСибЭнерго» по корректировке бизнес-процесса в случае выявления отклонений в срок до 10 декабря года, предшествующего планируемому.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ДОТ представляет генеральному директору АО «ЕвроСибЭнерго» предложения по целевым показателям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в разрезе Бизнесов/Организаций для использования в целях бизнес-планирования в срок до 25 декабря года, предшествующего планируемому, в следующем порядке: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Определяется прогноз фактически отработанных человеко-часов </w:t>
      </w:r>
      <w:proofErr w:type="spellStart"/>
      <w:r w:rsidRPr="001C4A4E">
        <w:rPr>
          <w:sz w:val="24"/>
          <w:szCs w:val="24"/>
        </w:rPr>
        <w:t>ФЧЧ_прогноз</w:t>
      </w:r>
      <w:proofErr w:type="spellEnd"/>
      <w:r w:rsidRPr="001C4A4E">
        <w:rPr>
          <w:sz w:val="24"/>
          <w:szCs w:val="24"/>
        </w:rPr>
        <w:t xml:space="preserve"> по Организациям на конец года, предшествующего планируемому: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1C4A4E" w:rsidRPr="00353295" w:rsidTr="00EB334B">
        <w:tc>
          <w:tcPr>
            <w:tcW w:w="4672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Для Бизнесов/Организаций, осуществляющих ежемесячную подготовку отчетности по охране труда (в соответствии с п. 4.2.1 настоящей Методики)</w:t>
            </w:r>
          </w:p>
        </w:tc>
        <w:tc>
          <w:tcPr>
            <w:tcW w:w="4673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Для Бизнесов/Организаций, осуществляющих ежеквартальную подготовку отчетности по охране труда (в соответствии с п. 4.2.1 настоящей Методики)</w:t>
            </w:r>
          </w:p>
        </w:tc>
      </w:tr>
      <w:tr w:rsidR="001C4A4E" w:rsidRPr="00353295" w:rsidTr="00EB334B">
        <w:tc>
          <w:tcPr>
            <w:tcW w:w="4672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proofErr w:type="spellStart"/>
            <w:r w:rsidRPr="00353295">
              <w:rPr>
                <w:b/>
                <w:i/>
                <w:sz w:val="24"/>
                <w:szCs w:val="24"/>
                <w:lang w:eastAsia="en-US"/>
              </w:rPr>
              <w:t>ФЧЧ_прогноз</w:t>
            </w:r>
            <w:proofErr w:type="spellEnd"/>
            <w:r w:rsidRPr="00353295">
              <w:rPr>
                <w:b/>
                <w:i/>
                <w:sz w:val="24"/>
                <w:szCs w:val="24"/>
                <w:lang w:eastAsia="en-US"/>
              </w:rPr>
              <w:t xml:space="preserve"> = </w:t>
            </w:r>
            <w:proofErr w:type="spellStart"/>
            <w:r w:rsidRPr="00353295">
              <w:rPr>
                <w:b/>
                <w:i/>
                <w:sz w:val="24"/>
                <w:szCs w:val="24"/>
                <w:lang w:eastAsia="en-US"/>
              </w:rPr>
              <w:t>ФЧЧ_факт</w:t>
            </w:r>
            <w:proofErr w:type="spellEnd"/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12/11            (1)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где </w:t>
            </w:r>
            <w:proofErr w:type="spellStart"/>
            <w:r w:rsidRPr="00353295">
              <w:rPr>
                <w:sz w:val="24"/>
                <w:szCs w:val="24"/>
                <w:lang w:eastAsia="en-US"/>
              </w:rPr>
              <w:t>ФЧЧ_факт</w:t>
            </w:r>
            <w:proofErr w:type="spellEnd"/>
            <w:r w:rsidRPr="00353295">
              <w:rPr>
                <w:sz w:val="24"/>
                <w:szCs w:val="24"/>
                <w:lang w:eastAsia="en-US"/>
              </w:rPr>
              <w:t xml:space="preserve"> – суммарное количество фактически отработанных человеко-часов за 11 месяцев года в текущем году</w:t>
            </w:r>
          </w:p>
        </w:tc>
        <w:tc>
          <w:tcPr>
            <w:tcW w:w="4673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proofErr w:type="spellStart"/>
            <w:r w:rsidRPr="00353295">
              <w:rPr>
                <w:b/>
                <w:i/>
                <w:sz w:val="24"/>
                <w:szCs w:val="24"/>
                <w:lang w:eastAsia="en-US"/>
              </w:rPr>
              <w:t>ФЧЧ_прогноз</w:t>
            </w:r>
            <w:proofErr w:type="spellEnd"/>
            <w:r w:rsidRPr="00353295">
              <w:rPr>
                <w:b/>
                <w:i/>
                <w:sz w:val="24"/>
                <w:szCs w:val="24"/>
                <w:lang w:eastAsia="en-US"/>
              </w:rPr>
              <w:t xml:space="preserve"> = </w:t>
            </w:r>
            <w:proofErr w:type="spellStart"/>
            <w:r w:rsidRPr="00353295">
              <w:rPr>
                <w:b/>
                <w:i/>
                <w:sz w:val="24"/>
                <w:szCs w:val="24"/>
                <w:lang w:eastAsia="en-US"/>
              </w:rPr>
              <w:t>ФЧЧ_факт</w:t>
            </w:r>
            <w:proofErr w:type="spellEnd"/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4/3                 (2)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где </w:t>
            </w:r>
            <w:proofErr w:type="spellStart"/>
            <w:r w:rsidRPr="00353295">
              <w:rPr>
                <w:sz w:val="24"/>
                <w:szCs w:val="24"/>
                <w:lang w:eastAsia="en-US"/>
              </w:rPr>
              <w:t>ФЧЧ_факт</w:t>
            </w:r>
            <w:proofErr w:type="spellEnd"/>
            <w:r w:rsidRPr="00353295">
              <w:rPr>
                <w:sz w:val="24"/>
                <w:szCs w:val="24"/>
                <w:lang w:eastAsia="en-US"/>
              </w:rPr>
              <w:t xml:space="preserve"> – суммарное количество фактически отработанных человеко-часов за 3 квартала текущего года</w:t>
            </w:r>
          </w:p>
        </w:tc>
      </w:tr>
    </w:tbl>
    <w:p w:rsidR="001C4A4E" w:rsidRPr="001C4A4E" w:rsidRDefault="001C4A4E" w:rsidP="001C4A4E">
      <w:pPr>
        <w:widowControl w:val="0"/>
        <w:autoSpaceDE w:val="0"/>
        <w:autoSpaceDN w:val="0"/>
        <w:adjustRightInd w:val="0"/>
        <w:spacing w:before="120" w:after="120"/>
        <w:jc w:val="both"/>
        <w:rPr>
          <w:sz w:val="24"/>
          <w:szCs w:val="24"/>
        </w:rPr>
      </w:pP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Определяется прогнозное значение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по Организациям в году, предшествующему планируемому:</w:t>
      </w:r>
    </w:p>
    <w:p w:rsidR="001C4A4E" w:rsidRPr="00353295" w:rsidRDefault="001C4A4E" w:rsidP="001C4A4E">
      <w:pPr>
        <w:spacing w:before="120" w:after="120"/>
        <w:jc w:val="both"/>
        <w:rPr>
          <w:b/>
          <w:i/>
          <w:sz w:val="24"/>
          <w:szCs w:val="24"/>
        </w:rPr>
      </w:pPr>
      <w:r w:rsidRPr="00353295">
        <w:rPr>
          <w:b/>
          <w:i/>
          <w:sz w:val="24"/>
          <w:szCs w:val="24"/>
          <w:lang w:val="en-US"/>
        </w:rPr>
        <w:lastRenderedPageBreak/>
        <w:t>LTIFR</w:t>
      </w:r>
      <w:r w:rsidRPr="00353295">
        <w:rPr>
          <w:b/>
          <w:i/>
          <w:sz w:val="24"/>
          <w:szCs w:val="24"/>
        </w:rPr>
        <w:t>_прогноз = (</w:t>
      </w:r>
      <w:r w:rsidRPr="00353295">
        <w:rPr>
          <w:b/>
          <w:i/>
          <w:sz w:val="24"/>
          <w:szCs w:val="24"/>
          <w:lang w:val="en-US"/>
        </w:rPr>
        <w:t>LTI</w:t>
      </w:r>
      <w:r w:rsidRPr="00353295">
        <w:rPr>
          <w:b/>
          <w:i/>
          <w:sz w:val="24"/>
          <w:szCs w:val="24"/>
        </w:rPr>
        <w:t xml:space="preserve">_факт + </w:t>
      </w:r>
      <w:r w:rsidRPr="00353295">
        <w:rPr>
          <w:b/>
          <w:i/>
          <w:sz w:val="24"/>
          <w:szCs w:val="24"/>
          <w:lang w:val="en-US"/>
        </w:rPr>
        <w:t>F</w:t>
      </w:r>
      <w:r w:rsidRPr="00353295">
        <w:rPr>
          <w:b/>
          <w:i/>
          <w:sz w:val="24"/>
          <w:szCs w:val="24"/>
        </w:rPr>
        <w:t>_факт)/</w:t>
      </w:r>
      <w:proofErr w:type="spellStart"/>
      <w:r w:rsidRPr="00353295">
        <w:rPr>
          <w:b/>
          <w:i/>
          <w:sz w:val="24"/>
          <w:szCs w:val="24"/>
        </w:rPr>
        <w:t>ФЧЧ_прогноз</w:t>
      </w:r>
      <w:proofErr w:type="spellEnd"/>
      <w:r w:rsidRPr="00353295">
        <w:rPr>
          <w:b/>
          <w:i/>
          <w:sz w:val="24"/>
          <w:szCs w:val="24"/>
        </w:rPr>
        <w:t xml:space="preserve"> </w:t>
      </w:r>
      <w:r w:rsidRPr="00353295">
        <w:rPr>
          <w:b/>
          <w:i/>
        </w:rPr>
        <w:sym w:font="Symbol" w:char="F0D7"/>
      </w:r>
      <w:r w:rsidRPr="00353295">
        <w:rPr>
          <w:b/>
          <w:i/>
          <w:sz w:val="24"/>
          <w:szCs w:val="24"/>
        </w:rPr>
        <w:t xml:space="preserve"> 200 000</w:t>
      </w:r>
      <w:r w:rsidRPr="00353295">
        <w:rPr>
          <w:b/>
          <w:i/>
          <w:sz w:val="24"/>
          <w:szCs w:val="24"/>
        </w:rPr>
        <w:tab/>
      </w:r>
      <w:r w:rsidRPr="00353295">
        <w:rPr>
          <w:b/>
          <w:i/>
          <w:sz w:val="24"/>
          <w:szCs w:val="24"/>
        </w:rPr>
        <w:tab/>
      </w:r>
      <w:r w:rsidRPr="00353295">
        <w:rPr>
          <w:b/>
          <w:i/>
          <w:sz w:val="24"/>
          <w:szCs w:val="24"/>
        </w:rPr>
        <w:tab/>
        <w:t xml:space="preserve">         (3)</w:t>
      </w:r>
    </w:p>
    <w:p w:rsidR="001C4A4E" w:rsidRPr="00353295" w:rsidRDefault="001C4A4E" w:rsidP="001C4A4E">
      <w:pPr>
        <w:spacing w:before="120" w:after="120"/>
        <w:jc w:val="both"/>
        <w:rPr>
          <w:sz w:val="24"/>
          <w:szCs w:val="24"/>
        </w:rPr>
      </w:pPr>
      <w:r w:rsidRPr="00353295">
        <w:rPr>
          <w:sz w:val="24"/>
          <w:szCs w:val="24"/>
        </w:rPr>
        <w:t xml:space="preserve">где </w:t>
      </w:r>
      <w:r w:rsidRPr="00353295">
        <w:rPr>
          <w:b/>
          <w:i/>
          <w:sz w:val="24"/>
          <w:szCs w:val="24"/>
          <w:lang w:val="en-US"/>
        </w:rPr>
        <w:t>LTI</w:t>
      </w:r>
      <w:r w:rsidRPr="00353295">
        <w:rPr>
          <w:b/>
          <w:i/>
          <w:sz w:val="24"/>
          <w:szCs w:val="24"/>
        </w:rPr>
        <w:t>_факт</w:t>
      </w:r>
      <w:r w:rsidRPr="00353295">
        <w:rPr>
          <w:sz w:val="24"/>
          <w:szCs w:val="24"/>
        </w:rPr>
        <w:t xml:space="preserve"> и </w:t>
      </w:r>
      <w:r w:rsidRPr="00353295">
        <w:rPr>
          <w:b/>
          <w:i/>
          <w:sz w:val="24"/>
          <w:szCs w:val="24"/>
          <w:lang w:val="en-US"/>
        </w:rPr>
        <w:t>F</w:t>
      </w:r>
      <w:r w:rsidRPr="00353295">
        <w:rPr>
          <w:b/>
          <w:i/>
          <w:sz w:val="24"/>
          <w:szCs w:val="24"/>
        </w:rPr>
        <w:t>_факт</w:t>
      </w:r>
      <w:r w:rsidRPr="00353295">
        <w:rPr>
          <w:sz w:val="24"/>
          <w:szCs w:val="24"/>
        </w:rPr>
        <w:t xml:space="preserve"> – фактическое количество зафиксированных ДОТ случаев </w:t>
      </w:r>
      <w:r w:rsidRPr="00353295">
        <w:rPr>
          <w:sz w:val="24"/>
          <w:szCs w:val="24"/>
          <w:lang w:val="en-US"/>
        </w:rPr>
        <w:t>LTI</w:t>
      </w:r>
      <w:r w:rsidRPr="00353295">
        <w:rPr>
          <w:sz w:val="24"/>
          <w:szCs w:val="24"/>
        </w:rPr>
        <w:t xml:space="preserve"> и </w:t>
      </w:r>
      <w:r w:rsidRPr="00353295">
        <w:rPr>
          <w:sz w:val="24"/>
          <w:szCs w:val="24"/>
          <w:lang w:val="en-US"/>
        </w:rPr>
        <w:t>F</w:t>
      </w:r>
      <w:r w:rsidRPr="00353295">
        <w:rPr>
          <w:sz w:val="24"/>
          <w:szCs w:val="24"/>
        </w:rPr>
        <w:t xml:space="preserve"> на момент выполнения расчета.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Определяется плановое значение показателя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на следующий год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>_план_2 в разрезе Организаций: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835"/>
        <w:gridCol w:w="4247"/>
      </w:tblGrid>
      <w:tr w:rsidR="001C4A4E" w:rsidRPr="00353295" w:rsidTr="00EB334B">
        <w:tc>
          <w:tcPr>
            <w:tcW w:w="2263" w:type="dxa"/>
            <w:vMerge w:val="restart"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Если в текущем году по Организации не был установлен целевой показатель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</w:p>
        </w:tc>
        <w:tc>
          <w:tcPr>
            <w:tcW w:w="7082" w:type="dxa"/>
            <w:gridSpan w:val="2"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Если в текущем году по Организации был установлен целевой показатель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(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_план_1)</w:t>
            </w:r>
          </w:p>
        </w:tc>
      </w:tr>
      <w:tr w:rsidR="001C4A4E" w:rsidRPr="00353295" w:rsidTr="00EB334B">
        <w:tc>
          <w:tcPr>
            <w:tcW w:w="2263" w:type="dxa"/>
            <w:vMerge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Если по итогам текущего года ожидается выполнение целевого показателя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(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 xml:space="preserve">_прогноз &lt;= 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_план_1</w:t>
            </w:r>
            <w:r w:rsidRPr="00353295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247" w:type="dxa"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Если по итогам текущего года ожидается невыполнение целевого показателя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(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 xml:space="preserve">_прогноз &gt; 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_план_1</w:t>
            </w:r>
            <w:r w:rsidRPr="00353295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1C4A4E" w:rsidRPr="00353295" w:rsidTr="00EB334B">
        <w:tc>
          <w:tcPr>
            <w:tcW w:w="5098" w:type="dxa"/>
            <w:gridSpan w:val="2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b/>
                <w:i/>
                <w:sz w:val="24"/>
                <w:szCs w:val="24"/>
                <w:lang w:val="en-US" w:eastAsia="en-US"/>
              </w:rPr>
            </w:pP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 xml:space="preserve">LTIFR_план_2 = </w:t>
            </w:r>
            <w:proofErr w:type="spellStart"/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LTIFR_прогноз</w:t>
            </w:r>
            <w:proofErr w:type="spellEnd"/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 xml:space="preserve"> 90%             (4)</w:t>
            </w:r>
          </w:p>
        </w:tc>
        <w:tc>
          <w:tcPr>
            <w:tcW w:w="4247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rPr>
                <w:b/>
                <w:i/>
                <w:sz w:val="24"/>
                <w:szCs w:val="24"/>
                <w:lang w:val="en-US" w:eastAsia="en-US"/>
              </w:rPr>
            </w:pP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LTIFR_план_2 = LTIFR_план_1     (5)</w:t>
            </w:r>
          </w:p>
        </w:tc>
      </w:tr>
    </w:tbl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Для Организаций, которые укрупняются в Бизнесы и предоставляют отчетность в соответствии с Регламентом, осуществляется соответствующее укрупнение целевых показателей до уровня Бизнеса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>_биз_2:</w:t>
      </w:r>
    </w:p>
    <w:p w:rsidR="001C4A4E" w:rsidRPr="00353295" w:rsidRDefault="001C4A4E" w:rsidP="001C4A4E">
      <w:pPr>
        <w:spacing w:before="120" w:after="120"/>
        <w:jc w:val="both"/>
        <w:rPr>
          <w:b/>
          <w:i/>
          <w:sz w:val="24"/>
          <w:szCs w:val="24"/>
        </w:rPr>
      </w:pPr>
      <w:r w:rsidRPr="00353295">
        <w:rPr>
          <w:b/>
          <w:i/>
          <w:sz w:val="24"/>
          <w:szCs w:val="24"/>
          <w:lang w:val="en-US"/>
        </w:rPr>
        <w:t>LTIFR</w:t>
      </w:r>
      <w:r w:rsidRPr="00353295">
        <w:rPr>
          <w:b/>
          <w:i/>
          <w:sz w:val="24"/>
          <w:szCs w:val="24"/>
        </w:rPr>
        <w:t xml:space="preserve">_биз_2 = </w:t>
      </w:r>
      <w:proofErr w:type="gramStart"/>
      <w:r w:rsidRPr="00353295">
        <w:rPr>
          <w:b/>
          <w:i/>
          <w:sz w:val="24"/>
          <w:szCs w:val="24"/>
        </w:rPr>
        <w:t>∑(</w:t>
      </w:r>
      <w:proofErr w:type="gramEnd"/>
      <w:r w:rsidRPr="00353295">
        <w:rPr>
          <w:b/>
          <w:i/>
          <w:sz w:val="24"/>
          <w:szCs w:val="24"/>
          <w:lang w:val="en-US"/>
        </w:rPr>
        <w:t>LTIFR</w:t>
      </w:r>
      <w:r w:rsidRPr="00353295">
        <w:rPr>
          <w:b/>
          <w:i/>
          <w:sz w:val="24"/>
          <w:szCs w:val="24"/>
        </w:rPr>
        <w:t xml:space="preserve">_план_2 </w:t>
      </w:r>
      <w:r w:rsidRPr="00353295">
        <w:rPr>
          <w:b/>
          <w:i/>
          <w:sz w:val="24"/>
          <w:szCs w:val="24"/>
          <w:lang w:val="en-US"/>
        </w:rPr>
        <w:sym w:font="Symbol" w:char="F0D7"/>
      </w:r>
      <w:r w:rsidRPr="00353295">
        <w:rPr>
          <w:b/>
          <w:i/>
          <w:sz w:val="24"/>
          <w:szCs w:val="24"/>
        </w:rPr>
        <w:t xml:space="preserve"> </w:t>
      </w:r>
      <w:proofErr w:type="spellStart"/>
      <w:r w:rsidRPr="00353295">
        <w:rPr>
          <w:b/>
          <w:i/>
          <w:sz w:val="24"/>
          <w:szCs w:val="24"/>
        </w:rPr>
        <w:t>ФЧЧ_прогноз</w:t>
      </w:r>
      <w:proofErr w:type="spellEnd"/>
      <w:r w:rsidRPr="00353295">
        <w:rPr>
          <w:b/>
          <w:i/>
          <w:sz w:val="24"/>
          <w:szCs w:val="24"/>
        </w:rPr>
        <w:t>)/ ∑(</w:t>
      </w:r>
      <w:proofErr w:type="spellStart"/>
      <w:r w:rsidRPr="00353295">
        <w:rPr>
          <w:b/>
          <w:i/>
          <w:sz w:val="24"/>
          <w:szCs w:val="24"/>
        </w:rPr>
        <w:t>ФЧЧ_прогноз</w:t>
      </w:r>
      <w:proofErr w:type="spellEnd"/>
      <w:r w:rsidRPr="00353295">
        <w:rPr>
          <w:b/>
          <w:i/>
          <w:sz w:val="24"/>
          <w:szCs w:val="24"/>
        </w:rPr>
        <w:t xml:space="preserve">) </w:t>
      </w:r>
      <w:r w:rsidRPr="00353295">
        <w:rPr>
          <w:b/>
          <w:i/>
          <w:sz w:val="24"/>
          <w:szCs w:val="24"/>
        </w:rPr>
        <w:tab/>
      </w:r>
      <w:r w:rsidRPr="00353295">
        <w:rPr>
          <w:b/>
          <w:i/>
          <w:sz w:val="24"/>
          <w:szCs w:val="24"/>
        </w:rPr>
        <w:tab/>
        <w:t xml:space="preserve">         (6)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В случае, если плановый показатель LTIFR Бизнеса (п. 3.2.3.4) превышает плановый показатель по Группе (п. 3.1.3) или иной лимит, установленный Менеджментом Группы (при наличии), ДОТ осуществляет корректировку плановых показателей LTIFR Организаций в объеме, необходимом для соблюдения установленных требований.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После согласования генеральным директором АО «ЕвроСибЭнерго» ДОТ направляет в Финансовый департамент АО «ЕвроСибЭнерго» предложения по целевым показателям LTIFR в разрезе Бизнесов/Организаций для включения в КПЭ Бизнесов/Организаций.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Финансовый департамент АО «ЕвроСибЭнерго» в срок до 20 февраля отчетного года направляет в ДОТ консолидированный перечень утвержденных целевых показателей LTIFR на отчетный год по всем Бизнесам/Организациям, которые осуществляли планирование данного показателя.</w:t>
      </w:r>
    </w:p>
    <w:p w:rsidR="001C4A4E" w:rsidRPr="001C4A4E" w:rsidRDefault="001C4A4E" w:rsidP="001C4A4E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3" w:name="_Toc61878707"/>
      <w:r w:rsidRPr="001C4A4E">
        <w:rPr>
          <w:bCs/>
          <w:kern w:val="32"/>
          <w:sz w:val="24"/>
          <w:szCs w:val="24"/>
        </w:rPr>
        <w:t>Отчетность</w:t>
      </w:r>
      <w:bookmarkEnd w:id="3"/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 Энергетическому сегменту Группы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Департамент по правовым вопросам ООО «УСЦ ЕвроСибЭнерго» предоставляет в ДОТ сведения об изменении перечня юридических лиц Бизнесов Группы, относительно представленного согласно п. 3.2.1 настоящей Методики, в течение 5 рабочих дней с момента изменения.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«ЕвроСибЭнерго» по корректировке бизнес-процесса (при необходимости).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ДОТ выполняет расчет фактического показателя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ДОТ выполняет расчет фактического показателя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Группы в срок до 5 февраля года, следующего за отчетным.</w:t>
      </w:r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 Бизнесам/Организациям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lastRenderedPageBreak/>
        <w:t>Ответственные работники осуществляют подготовку и предоставление в ДОТ отчетности до 23 числа месяца, следующего за отчетным периодом: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80"/>
      </w:tblGrid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№ п/п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показателя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1C4A4E">
              <w:rPr>
                <w:sz w:val="24"/>
                <w:szCs w:val="24"/>
                <w:lang w:eastAsia="en-US"/>
              </w:rPr>
              <w:t>Бизнес/Организация входит в структуру сбора отчетности по охране труда 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1C4A4E">
              <w:rPr>
                <w:sz w:val="24"/>
                <w:szCs w:val="24"/>
                <w:lang w:eastAsia="en-US"/>
              </w:rPr>
              <w:t>Бизнес/Организация не входит в структуру сбора отчетности по охране труда в соответствии с Регламентом</w:t>
            </w:r>
          </w:p>
        </w:tc>
      </w:tr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1C4A4E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Форма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и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объем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предоставления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 xml:space="preserve">В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соответствии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Регламентом</w:t>
            </w:r>
            <w:proofErr w:type="spellEnd"/>
          </w:p>
        </w:tc>
        <w:tc>
          <w:tcPr>
            <w:tcW w:w="368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 xml:space="preserve">В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соответствии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табл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>. 1</w:t>
            </w:r>
          </w:p>
        </w:tc>
      </w:tr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1C4A4E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Уровень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детализации</w:t>
            </w:r>
            <w:proofErr w:type="spellEnd"/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Организация</w:t>
            </w:r>
            <w:proofErr w:type="spellEnd"/>
          </w:p>
        </w:tc>
      </w:tr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1C4A4E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Периодичность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представления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Ежемесячно</w:t>
            </w:r>
            <w:proofErr w:type="spellEnd"/>
          </w:p>
        </w:tc>
        <w:tc>
          <w:tcPr>
            <w:tcW w:w="368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Ежеквартально</w:t>
            </w:r>
            <w:proofErr w:type="spellEnd"/>
          </w:p>
        </w:tc>
      </w:tr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1C4A4E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Порядок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представления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1C4A4E">
              <w:rPr>
                <w:sz w:val="24"/>
                <w:szCs w:val="24"/>
                <w:lang w:eastAsia="en-US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1C4A4E">
              <w:rPr>
                <w:sz w:val="24"/>
                <w:szCs w:val="24"/>
                <w:lang w:eastAsia="en-US"/>
              </w:rPr>
              <w:t>На электронную почту менеджера аналитического отдела ДОТ или в ином порядке, установленном ДОТ</w:t>
            </w:r>
          </w:p>
        </w:tc>
      </w:tr>
    </w:tbl>
    <w:p w:rsidR="001C4A4E" w:rsidRPr="001C4A4E" w:rsidRDefault="001C4A4E" w:rsidP="001C4A4E">
      <w:pPr>
        <w:widowControl w:val="0"/>
        <w:autoSpaceDE w:val="0"/>
        <w:autoSpaceDN w:val="0"/>
        <w:adjustRightInd w:val="0"/>
        <w:spacing w:before="120" w:after="12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5"/>
        <w:gridCol w:w="1321"/>
        <w:gridCol w:w="1319"/>
        <w:gridCol w:w="1316"/>
        <w:gridCol w:w="1322"/>
        <w:gridCol w:w="1319"/>
        <w:gridCol w:w="1316"/>
      </w:tblGrid>
      <w:tr w:rsidR="001C4A4E" w:rsidRPr="001C4A4E" w:rsidTr="00EB334B">
        <w:tc>
          <w:tcPr>
            <w:tcW w:w="1335" w:type="dxa"/>
            <w:vMerge w:val="restart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юр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.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лица</w:t>
            </w:r>
            <w:proofErr w:type="spellEnd"/>
          </w:p>
        </w:tc>
        <w:tc>
          <w:tcPr>
            <w:tcW w:w="4005" w:type="dxa"/>
            <w:gridSpan w:val="3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Сотрудник</w:t>
            </w:r>
            <w:proofErr w:type="spellEnd"/>
          </w:p>
        </w:tc>
        <w:tc>
          <w:tcPr>
            <w:tcW w:w="4005" w:type="dxa"/>
            <w:gridSpan w:val="3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Подрядчик</w:t>
            </w:r>
            <w:proofErr w:type="spellEnd"/>
          </w:p>
        </w:tc>
      </w:tr>
      <w:tr w:rsidR="001C4A4E" w:rsidRPr="001C4A4E" w:rsidTr="00EB334B">
        <w:tc>
          <w:tcPr>
            <w:tcW w:w="1335" w:type="dxa"/>
            <w:vMerge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ФЧЧ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LTI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F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ФЧЧ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LTI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F</w:t>
            </w:r>
          </w:p>
        </w:tc>
      </w:tr>
      <w:tr w:rsidR="001C4A4E" w:rsidRPr="001C4A4E" w:rsidTr="00EB334B"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</w:tr>
    </w:tbl>
    <w:p w:rsidR="001C4A4E" w:rsidRPr="00353295" w:rsidRDefault="001C4A4E" w:rsidP="001C4A4E">
      <w:pPr>
        <w:widowControl w:val="0"/>
        <w:autoSpaceDE w:val="0"/>
        <w:autoSpaceDN w:val="0"/>
        <w:adjustRightInd w:val="0"/>
        <w:spacing w:before="120" w:after="120"/>
        <w:jc w:val="both"/>
        <w:rPr>
          <w:b/>
          <w:i/>
          <w:color w:val="FF0000"/>
          <w:sz w:val="24"/>
          <w:szCs w:val="24"/>
        </w:rPr>
      </w:pP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</w:t>
      </w:r>
      <w:bookmarkStart w:id="4" w:name="_GoBack"/>
      <w:bookmarkEnd w:id="4"/>
      <w:r w:rsidRPr="001C4A4E">
        <w:rPr>
          <w:sz w:val="24"/>
          <w:szCs w:val="24"/>
        </w:rPr>
        <w:t>пенчатый контроль в следующем порядке:</w:t>
      </w:r>
    </w:p>
    <w:p w:rsidR="001C4A4E" w:rsidRPr="001C4A4E" w:rsidRDefault="001C4A4E" w:rsidP="001C4A4E">
      <w:pPr>
        <w:numPr>
          <w:ilvl w:val="0"/>
          <w:numId w:val="4"/>
        </w:numPr>
        <w:spacing w:before="120" w:after="12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:rsidR="00BF5DB6" w:rsidRPr="00BF5DB6" w:rsidRDefault="001C4A4E" w:rsidP="00BF5DB6">
      <w:pPr>
        <w:numPr>
          <w:ilvl w:val="0"/>
          <w:numId w:val="4"/>
        </w:numPr>
        <w:spacing w:before="120" w:after="12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».</w:t>
      </w:r>
    </w:p>
    <w:tbl>
      <w:tblPr>
        <w:tblW w:w="9530" w:type="dxa"/>
        <w:tblInd w:w="108" w:type="dxa"/>
        <w:tblLook w:val="01E0" w:firstRow="1" w:lastRow="1" w:firstColumn="1" w:lastColumn="1" w:noHBand="0" w:noVBand="0"/>
      </w:tblPr>
      <w:tblGrid>
        <w:gridCol w:w="9308"/>
        <w:gridCol w:w="222"/>
      </w:tblGrid>
      <w:tr w:rsidR="00BF5DB6" w:rsidRPr="00353295" w:rsidTr="00BF5DB6">
        <w:trPr>
          <w:trHeight w:val="1134"/>
        </w:trPr>
        <w:tc>
          <w:tcPr>
            <w:tcW w:w="9308" w:type="dxa"/>
          </w:tcPr>
          <w:p w:rsidR="00BF5DB6" w:rsidRDefault="00BF5DB6" w:rsidP="00BF5DB6">
            <w:pPr>
              <w:pStyle w:val="a3"/>
              <w:tabs>
                <w:tab w:val="left" w:pos="5055"/>
              </w:tabs>
              <w:jc w:val="left"/>
              <w:rPr>
                <w:b/>
                <w:sz w:val="22"/>
                <w:szCs w:val="22"/>
              </w:rPr>
            </w:pPr>
            <w:r w:rsidRPr="00EA2867">
              <w:rPr>
                <w:b/>
                <w:sz w:val="22"/>
                <w:szCs w:val="22"/>
              </w:rPr>
              <w:t>Ген</w:t>
            </w:r>
            <w:r>
              <w:rPr>
                <w:b/>
                <w:sz w:val="22"/>
                <w:szCs w:val="22"/>
              </w:rPr>
              <w:t>подрядчик</w:t>
            </w:r>
            <w:r w:rsidRPr="00EA2867">
              <w:rPr>
                <w:b/>
                <w:sz w:val="22"/>
                <w:szCs w:val="22"/>
              </w:rPr>
              <w:t xml:space="preserve">:                                                               </w:t>
            </w:r>
            <w:r>
              <w:rPr>
                <w:b/>
                <w:sz w:val="22"/>
                <w:szCs w:val="22"/>
              </w:rPr>
              <w:t>Субподрядчик:</w:t>
            </w:r>
          </w:p>
          <w:p w:rsidR="00BF5DB6" w:rsidRDefault="00BF5DB6" w:rsidP="00BF5DB6">
            <w:pPr>
              <w:pStyle w:val="a3"/>
              <w:tabs>
                <w:tab w:val="left" w:pos="5055"/>
              </w:tabs>
              <w:jc w:val="left"/>
              <w:rPr>
                <w:b/>
                <w:sz w:val="22"/>
                <w:szCs w:val="22"/>
              </w:rPr>
            </w:pPr>
          </w:p>
          <w:p w:rsidR="00BF5DB6" w:rsidRDefault="00BF5DB6" w:rsidP="00BF5DB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Первый заместитель                                                       </w:t>
            </w:r>
            <w:r w:rsidRPr="00695326">
              <w:rPr>
                <w:color w:val="FFFFFF" w:themeColor="background1"/>
                <w:sz w:val="22"/>
                <w:szCs w:val="22"/>
              </w:rPr>
              <w:t>ИП Кравченко Ю.А</w:t>
            </w:r>
          </w:p>
          <w:p w:rsidR="00BF5DB6" w:rsidRDefault="00BF5DB6" w:rsidP="00BF5DB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генерального директора</w:t>
            </w:r>
          </w:p>
          <w:p w:rsidR="00BF5DB6" w:rsidRDefault="00BF5DB6" w:rsidP="00BF5DB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</w:t>
            </w:r>
            <w:proofErr w:type="spellStart"/>
            <w:r>
              <w:rPr>
                <w:sz w:val="22"/>
                <w:szCs w:val="22"/>
              </w:rPr>
              <w:t>БЭК-ремонт</w:t>
            </w:r>
            <w:proofErr w:type="spellEnd"/>
            <w:r>
              <w:rPr>
                <w:sz w:val="22"/>
                <w:szCs w:val="22"/>
              </w:rPr>
              <w:t>»</w:t>
            </w:r>
          </w:p>
          <w:p w:rsidR="00BF5DB6" w:rsidRPr="00775C11" w:rsidRDefault="00BF5DB6" w:rsidP="00BF5DB6">
            <w:pPr>
              <w:pStyle w:val="a3"/>
              <w:tabs>
                <w:tab w:val="left" w:pos="5055"/>
              </w:tabs>
              <w:jc w:val="left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</w:t>
            </w:r>
          </w:p>
          <w:p w:rsidR="00BF5DB6" w:rsidRDefault="00BF5DB6" w:rsidP="00BF5DB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BF5DB6" w:rsidRDefault="00BF5DB6" w:rsidP="00BF5DB6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_______________ </w:t>
            </w:r>
            <w:r>
              <w:rPr>
                <w:sz w:val="22"/>
                <w:szCs w:val="22"/>
              </w:rPr>
              <w:t xml:space="preserve">Н.Н. Бредихин                                 </w:t>
            </w:r>
            <w:r>
              <w:rPr>
                <w:bCs/>
                <w:sz w:val="22"/>
                <w:szCs w:val="22"/>
              </w:rPr>
              <w:t xml:space="preserve">_______________ </w:t>
            </w:r>
            <w:r w:rsidRPr="00695326">
              <w:rPr>
                <w:color w:val="FFFFFF" w:themeColor="background1"/>
                <w:sz w:val="22"/>
                <w:szCs w:val="22"/>
              </w:rPr>
              <w:t>Ю.А. Кравченко</w:t>
            </w:r>
          </w:p>
          <w:p w:rsidR="00BF5DB6" w:rsidRDefault="00BF5DB6" w:rsidP="00BF5DB6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  <w:p w:rsidR="00BF5DB6" w:rsidRDefault="00BF5DB6" w:rsidP="00BF5DB6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М.П.                                                                               М.П.</w:t>
            </w:r>
          </w:p>
          <w:p w:rsidR="00BF5DB6" w:rsidRDefault="00BF5DB6" w:rsidP="00BF5DB6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  <w:p w:rsidR="00BF5DB6" w:rsidRDefault="00BF5DB6" w:rsidP="00BF5DB6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«__</w:t>
            </w:r>
            <w:proofErr w:type="gramStart"/>
            <w:r>
              <w:rPr>
                <w:sz w:val="22"/>
                <w:szCs w:val="22"/>
              </w:rPr>
              <w:t xml:space="preserve">_»   </w:t>
            </w:r>
            <w:proofErr w:type="gramEnd"/>
            <w:r>
              <w:rPr>
                <w:sz w:val="22"/>
                <w:szCs w:val="22"/>
              </w:rPr>
              <w:t>_____________ 2022 г.                                                  «___»   _____________ 2022 г</w:t>
            </w:r>
          </w:p>
        </w:tc>
        <w:tc>
          <w:tcPr>
            <w:tcW w:w="222" w:type="dxa"/>
          </w:tcPr>
          <w:p w:rsidR="00BF5DB6" w:rsidRPr="00353295" w:rsidRDefault="00BF5DB6" w:rsidP="00BF5DB6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</w:tr>
    </w:tbl>
    <w:p w:rsidR="00262F11" w:rsidRDefault="00262F11"/>
    <w:sectPr w:rsidR="00262F11" w:rsidSect="00BF5DB6">
      <w:pgSz w:w="11906" w:h="16838"/>
      <w:pgMar w:top="1134" w:right="850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D9D"/>
    <w:rsid w:val="00074C06"/>
    <w:rsid w:val="001C4A4E"/>
    <w:rsid w:val="00262F11"/>
    <w:rsid w:val="0033480B"/>
    <w:rsid w:val="00341A43"/>
    <w:rsid w:val="00695326"/>
    <w:rsid w:val="006B6F99"/>
    <w:rsid w:val="00950B0C"/>
    <w:rsid w:val="00992D9D"/>
    <w:rsid w:val="00BF5DB6"/>
    <w:rsid w:val="00DE2C96"/>
    <w:rsid w:val="00DE4A60"/>
    <w:rsid w:val="00E54F10"/>
    <w:rsid w:val="00F74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EEC16"/>
  <w15:chartTrackingRefBased/>
  <w15:docId w15:val="{26512F28-F2F3-482D-99A7-7BB74D160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A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 Знак Знак,Знак Знак Знак, Знак"/>
    <w:basedOn w:val="a"/>
    <w:link w:val="a4"/>
    <w:uiPriority w:val="99"/>
    <w:rsid w:val="00950B0C"/>
    <w:pPr>
      <w:jc w:val="center"/>
    </w:pPr>
    <w:rPr>
      <w:sz w:val="24"/>
      <w:szCs w:val="24"/>
      <w:lang w:val="x-none" w:eastAsia="x-none"/>
    </w:rPr>
  </w:style>
  <w:style w:type="character" w:customStyle="1" w:styleId="a4">
    <w:name w:val="Основной текст Знак"/>
    <w:aliases w:val="Знак Знак, Знак Знак Знак Знак,Знак Знак Знак Знак, Знак Знак"/>
    <w:basedOn w:val="a0"/>
    <w:link w:val="a3"/>
    <w:uiPriority w:val="99"/>
    <w:rsid w:val="00950B0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5">
    <w:name w:val="Название"/>
    <w:basedOn w:val="a"/>
    <w:link w:val="a6"/>
    <w:uiPriority w:val="10"/>
    <w:qFormat/>
    <w:rsid w:val="00074C06"/>
    <w:pPr>
      <w:jc w:val="center"/>
    </w:pPr>
    <w:rPr>
      <w:b/>
      <w:bCs/>
      <w:sz w:val="24"/>
      <w:szCs w:val="24"/>
    </w:rPr>
  </w:style>
  <w:style w:type="character" w:customStyle="1" w:styleId="a6">
    <w:name w:val="Название Знак"/>
    <w:link w:val="a5"/>
    <w:uiPriority w:val="10"/>
    <w:rsid w:val="00074C0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1745</Words>
  <Characters>9947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Fedorova Inna</dc:creator>
  <cp:keywords/>
  <dc:description/>
  <cp:lastModifiedBy>Fedorova Inna</cp:lastModifiedBy>
  <cp:revision>13</cp:revision>
  <dcterms:created xsi:type="dcterms:W3CDTF">2021-10-11T03:53:00Z</dcterms:created>
  <dcterms:modified xsi:type="dcterms:W3CDTF">2022-06-06T08:23:00Z</dcterms:modified>
</cp:coreProperties>
</file>